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  <w:spacing w:after="0"/>
        <w:ind w:right="0"/>
      </w:pPr>
      <w:r>
        <w:t>maintenance electriques</w:t>
      </w:r>
    </w:p>
    <w:p w:rsidR="00317EF6" w:rsidRDefault="00317EF6" w:rsidP="0015679C">
      <w:pPr>
        <w:pStyle w:val="Heading1"/>
        <w:spacing w:after="0"/>
        <w:ind w:right="0"/>
      </w:pPr>
      <w:r>
        <w:t>(60 periodes)</w:t>
      </w:r>
    </w:p>
    <w:p w:rsidR="00317EF6" w:rsidRDefault="00317EF6" w:rsidP="0015679C">
      <w:pPr>
        <w:rPr>
          <w:lang w:val="fr-FR"/>
        </w:rPr>
      </w:pPr>
    </w:p>
    <w:p w:rsidR="00317EF6" w:rsidRPr="0015679C" w:rsidRDefault="00317EF6" w:rsidP="0015679C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15679C">
        <w:rPr>
          <w:rFonts w:cs="Times New Roman"/>
          <w:b/>
          <w:bCs/>
          <w:sz w:val="28"/>
          <w:szCs w:val="28"/>
          <w:u w:val="single"/>
          <w:lang w:val="fr-FR"/>
        </w:rPr>
        <w:t xml:space="preserve">Contenu </w:t>
      </w:r>
    </w:p>
    <w:p w:rsidR="00317EF6" w:rsidRPr="0015679C" w:rsidRDefault="00317EF6" w:rsidP="0015679C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15679C">
        <w:rPr>
          <w:rFonts w:cs="Times New Roman"/>
          <w:b/>
          <w:bCs/>
          <w:sz w:val="28"/>
          <w:szCs w:val="28"/>
          <w:lang w:val="fr-FR"/>
        </w:rPr>
        <w:t>Chapitre 1 </w:t>
      </w:r>
    </w:p>
    <w:p w:rsidR="00317EF6" w:rsidRPr="0015679C" w:rsidRDefault="00317EF6" w:rsidP="0015679C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15679C">
        <w:rPr>
          <w:rFonts w:cs="Times New Roman"/>
          <w:b/>
          <w:bCs/>
          <w:sz w:val="28"/>
          <w:szCs w:val="28"/>
          <w:lang w:val="fr-FR"/>
        </w:rPr>
        <w:t>Risque électrique – Danger du courant électrique</w:t>
      </w:r>
    </w:p>
    <w:p w:rsidR="00317EF6" w:rsidRPr="00EB300C" w:rsidRDefault="00317EF6" w:rsidP="0062105F">
      <w:pPr>
        <w:pStyle w:val="ListParagraph"/>
        <w:numPr>
          <w:ilvl w:val="1"/>
          <w:numId w:val="42"/>
        </w:numPr>
        <w:rPr>
          <w:rFonts w:ascii="Arial" w:hAnsi="Arial"/>
        </w:rPr>
      </w:pPr>
      <w:r w:rsidRPr="00EB300C">
        <w:rPr>
          <w:rFonts w:ascii="Arial" w:hAnsi="Arial"/>
        </w:rPr>
        <w:t>Les accidents électriques par contact</w:t>
      </w:r>
    </w:p>
    <w:p w:rsidR="00317EF6" w:rsidRPr="00EB300C" w:rsidRDefault="00317EF6" w:rsidP="0062105F">
      <w:pPr>
        <w:pStyle w:val="ListParagraph"/>
        <w:numPr>
          <w:ilvl w:val="1"/>
          <w:numId w:val="42"/>
        </w:numPr>
        <w:rPr>
          <w:rFonts w:ascii="Arial" w:hAnsi="Arial"/>
        </w:rPr>
      </w:pPr>
      <w:proofErr w:type="gramStart"/>
      <w:r w:rsidRPr="00EB300C">
        <w:rPr>
          <w:rFonts w:ascii="Arial" w:hAnsi="Arial"/>
        </w:rPr>
        <w:t>Courant  de</w:t>
      </w:r>
      <w:proofErr w:type="gramEnd"/>
      <w:r w:rsidRPr="00EB300C">
        <w:rPr>
          <w:rFonts w:ascii="Arial" w:hAnsi="Arial"/>
        </w:rPr>
        <w:t xml:space="preserve"> défaut</w:t>
      </w:r>
    </w:p>
    <w:p w:rsidR="00317EF6" w:rsidRPr="00EB300C" w:rsidRDefault="00317EF6" w:rsidP="0062105F">
      <w:pPr>
        <w:pStyle w:val="ListParagraph"/>
        <w:numPr>
          <w:ilvl w:val="1"/>
          <w:numId w:val="42"/>
        </w:numPr>
        <w:rPr>
          <w:rFonts w:ascii="Arial" w:hAnsi="Arial"/>
        </w:rPr>
      </w:pPr>
      <w:r w:rsidRPr="00EB300C">
        <w:rPr>
          <w:rFonts w:ascii="Arial" w:hAnsi="Arial"/>
        </w:rPr>
        <w:t>Résistance du corps humain</w:t>
      </w:r>
    </w:p>
    <w:p w:rsidR="00317EF6" w:rsidRPr="00EB300C" w:rsidRDefault="00317EF6" w:rsidP="0062105F">
      <w:pPr>
        <w:pStyle w:val="ListParagraph"/>
        <w:numPr>
          <w:ilvl w:val="1"/>
          <w:numId w:val="42"/>
        </w:numPr>
        <w:rPr>
          <w:rFonts w:ascii="Arial" w:hAnsi="Arial"/>
        </w:rPr>
      </w:pPr>
      <w:r w:rsidRPr="00EB300C">
        <w:rPr>
          <w:rFonts w:ascii="Arial" w:hAnsi="Arial"/>
        </w:rPr>
        <w:t>Durée de passage du courant</w:t>
      </w:r>
    </w:p>
    <w:p w:rsidR="00317EF6" w:rsidRPr="00EB300C" w:rsidRDefault="00317EF6" w:rsidP="0062105F">
      <w:pPr>
        <w:pStyle w:val="ListParagraph"/>
        <w:numPr>
          <w:ilvl w:val="1"/>
          <w:numId w:val="42"/>
        </w:numPr>
        <w:rPr>
          <w:rFonts w:ascii="Arial" w:hAnsi="Arial"/>
        </w:rPr>
      </w:pPr>
      <w:r w:rsidRPr="00EB300C">
        <w:rPr>
          <w:rFonts w:ascii="Arial" w:hAnsi="Arial"/>
        </w:rPr>
        <w:t>Effet du courant sur le corps humain</w:t>
      </w:r>
    </w:p>
    <w:p w:rsidR="00317EF6" w:rsidRPr="00EB300C" w:rsidRDefault="00317EF6" w:rsidP="0015679C">
      <w:pPr>
        <w:pStyle w:val="ListParagraph"/>
        <w:ind w:left="1065"/>
        <w:rPr>
          <w:rFonts w:ascii="Arial" w:hAnsi="Arial"/>
        </w:rPr>
      </w:pPr>
    </w:p>
    <w:p w:rsidR="00317EF6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2543EC">
        <w:rPr>
          <w:rFonts w:cs="Times New Roman"/>
          <w:b/>
          <w:bCs/>
          <w:sz w:val="28"/>
          <w:szCs w:val="28"/>
        </w:rPr>
        <w:t>Chapitre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r w:rsidRPr="002543EC">
        <w:rPr>
          <w:rFonts w:cs="Times New Roman"/>
          <w:b/>
          <w:bCs/>
          <w:sz w:val="28"/>
          <w:szCs w:val="28"/>
        </w:rPr>
        <w:t>2 </w:t>
      </w:r>
    </w:p>
    <w:p w:rsidR="00317EF6" w:rsidRPr="002543EC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r w:rsidRPr="002543EC">
        <w:rPr>
          <w:rFonts w:cs="Times New Roman"/>
          <w:b/>
          <w:bCs/>
          <w:sz w:val="28"/>
          <w:szCs w:val="28"/>
        </w:rPr>
        <w:t xml:space="preserve"> Notion de </w:t>
      </w:r>
      <w:proofErr w:type="spellStart"/>
      <w:r w:rsidRPr="002543EC">
        <w:rPr>
          <w:rFonts w:cs="Times New Roman"/>
          <w:b/>
          <w:bCs/>
          <w:sz w:val="28"/>
          <w:szCs w:val="28"/>
        </w:rPr>
        <w:t>sécurité</w:t>
      </w:r>
      <w:proofErr w:type="spellEnd"/>
      <w:r w:rsidRPr="002543E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543EC">
        <w:rPr>
          <w:rFonts w:cs="Times New Roman"/>
          <w:b/>
          <w:bCs/>
          <w:sz w:val="28"/>
          <w:szCs w:val="28"/>
        </w:rPr>
        <w:t>électrique</w:t>
      </w:r>
      <w:proofErr w:type="spellEnd"/>
    </w:p>
    <w:p w:rsidR="00317EF6" w:rsidRPr="00EB300C" w:rsidRDefault="00317EF6" w:rsidP="0062105F">
      <w:pPr>
        <w:pStyle w:val="ListParagraph"/>
        <w:numPr>
          <w:ilvl w:val="1"/>
          <w:numId w:val="43"/>
        </w:numPr>
        <w:rPr>
          <w:rFonts w:ascii="Arial" w:hAnsi="Arial"/>
        </w:rPr>
      </w:pPr>
      <w:r w:rsidRPr="00EB300C">
        <w:rPr>
          <w:rFonts w:ascii="Arial" w:hAnsi="Arial"/>
        </w:rPr>
        <w:t xml:space="preserve">Appareils de protection contre les surcharges et les </w:t>
      </w:r>
      <w:proofErr w:type="spellStart"/>
      <w:r w:rsidRPr="00EB300C">
        <w:rPr>
          <w:rFonts w:ascii="Arial" w:hAnsi="Arial"/>
        </w:rPr>
        <w:t>courts-circuits</w:t>
      </w:r>
      <w:proofErr w:type="spellEnd"/>
      <w:r w:rsidRPr="00EB300C">
        <w:rPr>
          <w:rFonts w:ascii="Arial" w:hAnsi="Arial"/>
        </w:rPr>
        <w:t> :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proofErr w:type="gramStart"/>
      <w:r w:rsidRPr="00EB300C">
        <w:rPr>
          <w:rFonts w:ascii="Arial" w:hAnsi="Arial"/>
        </w:rPr>
        <w:t>Fusible(</w:t>
      </w:r>
      <w:proofErr w:type="gramEnd"/>
      <w:r w:rsidRPr="00EB300C">
        <w:rPr>
          <w:rFonts w:ascii="Arial" w:hAnsi="Arial"/>
        </w:rPr>
        <w:t>Caractéristiques – Courbe de fonctionnement)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Relais thermique (Caractéristiques – Courbe de fonctionnement)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proofErr w:type="gramStart"/>
      <w:r w:rsidRPr="00EB300C">
        <w:rPr>
          <w:rFonts w:ascii="Arial" w:hAnsi="Arial"/>
        </w:rPr>
        <w:t>Disjoncteur(</w:t>
      </w:r>
      <w:proofErr w:type="gramEnd"/>
      <w:r w:rsidRPr="00EB300C">
        <w:rPr>
          <w:rFonts w:ascii="Arial" w:hAnsi="Arial"/>
        </w:rPr>
        <w:t>Caractéristiques – Courbe de fonctionnement)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DDR (Caractéristiques – principe de fonctionnement)</w:t>
      </w:r>
    </w:p>
    <w:p w:rsidR="00317EF6" w:rsidRPr="00EB300C" w:rsidRDefault="00317EF6" w:rsidP="0062105F">
      <w:pPr>
        <w:pStyle w:val="ListParagraph"/>
        <w:numPr>
          <w:ilvl w:val="1"/>
          <w:numId w:val="43"/>
        </w:numPr>
        <w:rPr>
          <w:rFonts w:ascii="Arial" w:hAnsi="Arial"/>
        </w:rPr>
      </w:pPr>
      <w:r w:rsidRPr="00EB300C">
        <w:rPr>
          <w:rFonts w:ascii="Arial" w:hAnsi="Arial"/>
        </w:rPr>
        <w:t>Protection contre les chocs électriques :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proofErr w:type="gramStart"/>
      <w:r w:rsidRPr="00EB300C">
        <w:rPr>
          <w:rFonts w:ascii="Arial" w:hAnsi="Arial"/>
        </w:rPr>
        <w:t>liaison</w:t>
      </w:r>
      <w:proofErr w:type="gramEnd"/>
      <w:r w:rsidRPr="00EB300C">
        <w:rPr>
          <w:rFonts w:ascii="Arial" w:hAnsi="Arial"/>
        </w:rPr>
        <w:t xml:space="preserve"> a la terre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proofErr w:type="gramStart"/>
      <w:r w:rsidRPr="00EB300C">
        <w:rPr>
          <w:rFonts w:ascii="Arial" w:hAnsi="Arial"/>
        </w:rPr>
        <w:t>habilitation</w:t>
      </w:r>
      <w:proofErr w:type="gramEnd"/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Distance au voisinage d’installation électrique</w:t>
      </w:r>
    </w:p>
    <w:p w:rsidR="00317EF6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2543EC">
        <w:rPr>
          <w:rFonts w:cs="Times New Roman"/>
          <w:b/>
          <w:bCs/>
          <w:sz w:val="28"/>
          <w:szCs w:val="28"/>
        </w:rPr>
        <w:t>Chapitre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r w:rsidRPr="002543EC">
        <w:rPr>
          <w:rFonts w:cs="Times New Roman"/>
          <w:b/>
          <w:bCs/>
          <w:sz w:val="28"/>
          <w:szCs w:val="28"/>
        </w:rPr>
        <w:t>3 </w:t>
      </w:r>
    </w:p>
    <w:p w:rsidR="00317EF6" w:rsidRPr="002543EC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r w:rsidRPr="002543E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543EC">
        <w:rPr>
          <w:rFonts w:cs="Times New Roman"/>
          <w:b/>
          <w:bCs/>
          <w:sz w:val="28"/>
          <w:szCs w:val="28"/>
        </w:rPr>
        <w:t>Régime</w:t>
      </w:r>
      <w:proofErr w:type="spellEnd"/>
      <w:r w:rsidRPr="002543E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543EC">
        <w:rPr>
          <w:rFonts w:cs="Times New Roman"/>
          <w:b/>
          <w:bCs/>
          <w:sz w:val="28"/>
          <w:szCs w:val="28"/>
        </w:rPr>
        <w:t>neutre</w:t>
      </w:r>
      <w:proofErr w:type="spellEnd"/>
    </w:p>
    <w:p w:rsidR="00317EF6" w:rsidRPr="00EB300C" w:rsidRDefault="00317EF6" w:rsidP="0015679C">
      <w:pPr>
        <w:rPr>
          <w:rFonts w:ascii="Arial" w:hAnsi="Arial" w:cs="Arial"/>
          <w:sz w:val="22"/>
          <w:szCs w:val="22"/>
        </w:rPr>
      </w:pPr>
      <w:r w:rsidRPr="002543EC">
        <w:rPr>
          <w:rFonts w:cs="Times New Roman"/>
          <w:sz w:val="24"/>
        </w:rPr>
        <w:t xml:space="preserve">3.1 </w:t>
      </w:r>
      <w:proofErr w:type="spellStart"/>
      <w:r w:rsidRPr="00EB300C">
        <w:rPr>
          <w:rFonts w:ascii="Arial" w:hAnsi="Arial" w:cs="Arial"/>
          <w:sz w:val="22"/>
          <w:szCs w:val="22"/>
        </w:rPr>
        <w:t>Régime</w:t>
      </w:r>
      <w:proofErr w:type="spellEnd"/>
      <w:r w:rsidRPr="00EB300C">
        <w:rPr>
          <w:rFonts w:ascii="Arial" w:hAnsi="Arial" w:cs="Arial"/>
          <w:sz w:val="22"/>
          <w:szCs w:val="22"/>
        </w:rPr>
        <w:t xml:space="preserve"> TT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Principe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Condition de protection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Protection par disjoncteur ou fusible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Calcul simplifie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Calcul des conditions de déclenchement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Choix d’un DDR</w:t>
      </w:r>
    </w:p>
    <w:p w:rsidR="00317EF6" w:rsidRPr="00EB300C" w:rsidRDefault="00317EF6" w:rsidP="0015679C">
      <w:pPr>
        <w:rPr>
          <w:rFonts w:ascii="Arial" w:hAnsi="Arial" w:cs="Arial"/>
          <w:sz w:val="22"/>
          <w:szCs w:val="22"/>
        </w:rPr>
      </w:pPr>
    </w:p>
    <w:p w:rsidR="00317EF6" w:rsidRPr="00EB300C" w:rsidRDefault="00317EF6" w:rsidP="0015679C">
      <w:pPr>
        <w:rPr>
          <w:rFonts w:ascii="Arial" w:hAnsi="Arial" w:cs="Arial"/>
          <w:sz w:val="22"/>
          <w:szCs w:val="22"/>
        </w:rPr>
      </w:pPr>
      <w:r w:rsidRPr="00EB300C">
        <w:rPr>
          <w:rFonts w:ascii="Arial" w:hAnsi="Arial" w:cs="Arial"/>
          <w:sz w:val="22"/>
          <w:szCs w:val="22"/>
        </w:rPr>
        <w:t xml:space="preserve">3.2 </w:t>
      </w:r>
      <w:proofErr w:type="spellStart"/>
      <w:r w:rsidRPr="00EB300C">
        <w:rPr>
          <w:rFonts w:ascii="Arial" w:hAnsi="Arial" w:cs="Arial"/>
          <w:sz w:val="22"/>
          <w:szCs w:val="22"/>
        </w:rPr>
        <w:t>Régime</w:t>
      </w:r>
      <w:proofErr w:type="spellEnd"/>
      <w:r w:rsidRPr="00EB300C">
        <w:rPr>
          <w:rFonts w:ascii="Arial" w:hAnsi="Arial" w:cs="Arial"/>
          <w:sz w:val="22"/>
          <w:szCs w:val="22"/>
        </w:rPr>
        <w:t xml:space="preserve"> TN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Principe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Condition de protection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Protection par disjoncteur ou fusible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Calcul simplifie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Calcul des conditions de déclenchement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Méthode de calcul</w:t>
      </w:r>
    </w:p>
    <w:p w:rsidR="00317EF6" w:rsidRPr="00EB300C" w:rsidRDefault="00317EF6" w:rsidP="0015679C">
      <w:pPr>
        <w:rPr>
          <w:rFonts w:ascii="Arial" w:hAnsi="Arial" w:cs="Arial"/>
          <w:sz w:val="22"/>
          <w:szCs w:val="22"/>
        </w:rPr>
      </w:pPr>
    </w:p>
    <w:p w:rsidR="00317EF6" w:rsidRPr="00EB300C" w:rsidRDefault="00317EF6" w:rsidP="0015679C">
      <w:pPr>
        <w:rPr>
          <w:rFonts w:ascii="Arial" w:hAnsi="Arial" w:cs="Arial"/>
          <w:sz w:val="22"/>
          <w:szCs w:val="22"/>
        </w:rPr>
      </w:pPr>
      <w:r w:rsidRPr="00EB300C">
        <w:rPr>
          <w:rFonts w:ascii="Arial" w:hAnsi="Arial" w:cs="Arial"/>
          <w:sz w:val="22"/>
          <w:szCs w:val="22"/>
        </w:rPr>
        <w:t>3.3 Regime IT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Principe de protection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Premier défaut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lastRenderedPageBreak/>
        <w:t>Cas d’un défaut doble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Protection en cas d’un défaut double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Calcul des conditions de déclenchement</w:t>
      </w:r>
    </w:p>
    <w:p w:rsidR="00317EF6" w:rsidRPr="00EB300C" w:rsidRDefault="00317EF6" w:rsidP="0062105F">
      <w:pPr>
        <w:pStyle w:val="ListParagraph"/>
        <w:numPr>
          <w:ilvl w:val="0"/>
          <w:numId w:val="40"/>
        </w:numPr>
        <w:rPr>
          <w:rFonts w:ascii="Arial" w:hAnsi="Arial"/>
        </w:rPr>
      </w:pPr>
      <w:r w:rsidRPr="00EB300C">
        <w:rPr>
          <w:rFonts w:ascii="Arial" w:hAnsi="Arial"/>
        </w:rPr>
        <w:t>Caractéristiques du régime IT</w:t>
      </w:r>
    </w:p>
    <w:p w:rsidR="00317EF6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2543EC">
        <w:rPr>
          <w:rFonts w:cs="Times New Roman"/>
          <w:b/>
          <w:bCs/>
          <w:sz w:val="28"/>
          <w:szCs w:val="28"/>
        </w:rPr>
        <w:t>Chapitre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r w:rsidRPr="002543EC">
        <w:rPr>
          <w:rFonts w:cs="Times New Roman"/>
          <w:b/>
          <w:bCs/>
          <w:sz w:val="28"/>
          <w:szCs w:val="28"/>
        </w:rPr>
        <w:t>4 </w:t>
      </w:r>
    </w:p>
    <w:p w:rsidR="00317EF6" w:rsidRPr="002543EC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r w:rsidRPr="002543E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543EC">
        <w:rPr>
          <w:rFonts w:cs="Times New Roman"/>
          <w:b/>
          <w:bCs/>
          <w:sz w:val="28"/>
          <w:szCs w:val="28"/>
        </w:rPr>
        <w:t>Méthodologie</w:t>
      </w:r>
      <w:proofErr w:type="spellEnd"/>
      <w:r w:rsidRPr="002543EC">
        <w:rPr>
          <w:rFonts w:cs="Times New Roman"/>
          <w:b/>
          <w:bCs/>
          <w:sz w:val="28"/>
          <w:szCs w:val="28"/>
        </w:rPr>
        <w:t xml:space="preserve"> de la maintenance</w:t>
      </w:r>
    </w:p>
    <w:p w:rsidR="00317EF6" w:rsidRPr="00EB300C" w:rsidRDefault="00317EF6" w:rsidP="0062105F">
      <w:pPr>
        <w:pStyle w:val="ListParagraph"/>
        <w:numPr>
          <w:ilvl w:val="1"/>
          <w:numId w:val="44"/>
        </w:numPr>
        <w:rPr>
          <w:rFonts w:ascii="Arial" w:hAnsi="Arial"/>
        </w:rPr>
      </w:pPr>
      <w:r w:rsidRPr="00EB300C">
        <w:rPr>
          <w:rFonts w:ascii="Arial" w:hAnsi="Arial"/>
        </w:rPr>
        <w:t xml:space="preserve">Méthodologie </w:t>
      </w:r>
      <w:proofErr w:type="gramStart"/>
      <w:r w:rsidRPr="00EB300C">
        <w:rPr>
          <w:rFonts w:ascii="Arial" w:hAnsi="Arial"/>
        </w:rPr>
        <w:t>du recherche</w:t>
      </w:r>
      <w:proofErr w:type="gramEnd"/>
      <w:r w:rsidRPr="00EB300C">
        <w:rPr>
          <w:rFonts w:ascii="Arial" w:hAnsi="Arial"/>
        </w:rPr>
        <w:t xml:space="preserve"> et diagnostique d’une panne</w:t>
      </w:r>
    </w:p>
    <w:p w:rsidR="00317EF6" w:rsidRPr="00EB300C" w:rsidRDefault="00317EF6" w:rsidP="0062105F">
      <w:pPr>
        <w:pStyle w:val="ListParagraph"/>
        <w:numPr>
          <w:ilvl w:val="1"/>
          <w:numId w:val="44"/>
        </w:numPr>
        <w:rPr>
          <w:rFonts w:ascii="Arial" w:hAnsi="Arial"/>
        </w:rPr>
      </w:pPr>
      <w:r w:rsidRPr="00EB300C">
        <w:rPr>
          <w:rFonts w:ascii="Arial" w:hAnsi="Arial"/>
        </w:rPr>
        <w:t>Traitement des dysfonctionnements</w:t>
      </w:r>
    </w:p>
    <w:p w:rsidR="00317EF6" w:rsidRPr="00EB300C" w:rsidRDefault="00317EF6" w:rsidP="0062105F">
      <w:pPr>
        <w:pStyle w:val="ListParagraph"/>
        <w:numPr>
          <w:ilvl w:val="1"/>
          <w:numId w:val="44"/>
        </w:numPr>
        <w:rPr>
          <w:rFonts w:ascii="Arial" w:hAnsi="Arial"/>
        </w:rPr>
      </w:pPr>
      <w:r w:rsidRPr="00EB300C">
        <w:rPr>
          <w:rFonts w:ascii="Arial" w:hAnsi="Arial"/>
        </w:rPr>
        <w:t>Méthode de recherche des dysfonctionnements</w:t>
      </w:r>
    </w:p>
    <w:p w:rsidR="00317EF6" w:rsidRPr="00EB300C" w:rsidRDefault="00317EF6" w:rsidP="0062105F">
      <w:pPr>
        <w:pStyle w:val="ListParagraph"/>
        <w:numPr>
          <w:ilvl w:val="1"/>
          <w:numId w:val="44"/>
        </w:numPr>
        <w:rPr>
          <w:rFonts w:ascii="Arial" w:hAnsi="Arial"/>
        </w:rPr>
      </w:pPr>
      <w:r w:rsidRPr="00EB300C">
        <w:rPr>
          <w:rFonts w:ascii="Arial" w:hAnsi="Arial"/>
        </w:rPr>
        <w:t>Le parcours du dépanneur (l’</w:t>
      </w:r>
      <w:proofErr w:type="spellStart"/>
      <w:r w:rsidRPr="00EB300C">
        <w:rPr>
          <w:rFonts w:ascii="Arial" w:hAnsi="Arial"/>
        </w:rPr>
        <w:t>operateur</w:t>
      </w:r>
      <w:proofErr w:type="spellEnd"/>
      <w:r w:rsidRPr="00EB300C">
        <w:rPr>
          <w:rFonts w:ascii="Arial" w:hAnsi="Arial"/>
        </w:rPr>
        <w:t>)</w:t>
      </w:r>
    </w:p>
    <w:p w:rsidR="00317EF6" w:rsidRPr="00EB300C" w:rsidRDefault="00317EF6" w:rsidP="0062105F">
      <w:pPr>
        <w:pStyle w:val="ListParagraph"/>
        <w:numPr>
          <w:ilvl w:val="1"/>
          <w:numId w:val="44"/>
        </w:numPr>
        <w:rPr>
          <w:rFonts w:ascii="Arial" w:hAnsi="Arial"/>
        </w:rPr>
      </w:pPr>
      <w:r w:rsidRPr="00EB300C">
        <w:rPr>
          <w:rFonts w:ascii="Arial" w:hAnsi="Arial"/>
        </w:rPr>
        <w:t>Vérification de la chaine d’acquisition</w:t>
      </w:r>
    </w:p>
    <w:p w:rsidR="00317EF6" w:rsidRPr="00EB300C" w:rsidRDefault="00317EF6" w:rsidP="0062105F">
      <w:pPr>
        <w:pStyle w:val="ListParagraph"/>
        <w:numPr>
          <w:ilvl w:val="1"/>
          <w:numId w:val="44"/>
        </w:numPr>
        <w:rPr>
          <w:rFonts w:ascii="Arial" w:hAnsi="Arial"/>
        </w:rPr>
      </w:pPr>
      <w:r w:rsidRPr="00EB300C">
        <w:rPr>
          <w:rFonts w:ascii="Arial" w:hAnsi="Arial"/>
        </w:rPr>
        <w:t>Vérification de la chaine d’action</w:t>
      </w:r>
    </w:p>
    <w:p w:rsidR="00317EF6" w:rsidRPr="00EB300C" w:rsidRDefault="00317EF6" w:rsidP="0062105F">
      <w:pPr>
        <w:pStyle w:val="ListParagraph"/>
        <w:numPr>
          <w:ilvl w:val="1"/>
          <w:numId w:val="44"/>
        </w:numPr>
        <w:rPr>
          <w:rFonts w:ascii="Arial" w:hAnsi="Arial"/>
        </w:rPr>
      </w:pPr>
      <w:r w:rsidRPr="00EB300C">
        <w:rPr>
          <w:rFonts w:ascii="Arial" w:hAnsi="Arial"/>
        </w:rPr>
        <w:t>Diagnostiquer une panne sur un API</w:t>
      </w:r>
    </w:p>
    <w:p w:rsidR="00317EF6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2543EC">
        <w:rPr>
          <w:rFonts w:cs="Times New Roman"/>
          <w:b/>
          <w:bCs/>
          <w:sz w:val="28"/>
          <w:szCs w:val="28"/>
        </w:rPr>
        <w:t>Chapitre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r w:rsidRPr="002543EC">
        <w:rPr>
          <w:rFonts w:cs="Times New Roman"/>
          <w:b/>
          <w:bCs/>
          <w:sz w:val="28"/>
          <w:szCs w:val="28"/>
        </w:rPr>
        <w:t>5 </w:t>
      </w:r>
    </w:p>
    <w:p w:rsidR="00317EF6" w:rsidRPr="002543EC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r w:rsidRPr="002543EC">
        <w:rPr>
          <w:rFonts w:cs="Times New Roman"/>
          <w:b/>
          <w:bCs/>
          <w:sz w:val="28"/>
          <w:szCs w:val="28"/>
        </w:rPr>
        <w:t xml:space="preserve"> Le GEMMA</w:t>
      </w:r>
    </w:p>
    <w:p w:rsidR="00317EF6" w:rsidRPr="00EB300C" w:rsidRDefault="00317EF6" w:rsidP="0062105F">
      <w:pPr>
        <w:pStyle w:val="ListParagraph"/>
        <w:numPr>
          <w:ilvl w:val="1"/>
          <w:numId w:val="45"/>
        </w:numPr>
        <w:rPr>
          <w:rFonts w:ascii="Arial" w:hAnsi="Arial"/>
        </w:rPr>
      </w:pPr>
      <w:r w:rsidRPr="00EB300C">
        <w:rPr>
          <w:rFonts w:ascii="Arial" w:hAnsi="Arial"/>
        </w:rPr>
        <w:t>Décrire les trois procédures du GEMMA</w:t>
      </w:r>
    </w:p>
    <w:p w:rsidR="00317EF6" w:rsidRPr="00EB300C" w:rsidRDefault="00317EF6" w:rsidP="0015679C">
      <w:pPr>
        <w:pStyle w:val="ListParagraph"/>
        <w:ind w:left="360"/>
        <w:rPr>
          <w:rFonts w:ascii="Arial" w:hAnsi="Arial"/>
        </w:rPr>
      </w:pPr>
      <w:proofErr w:type="gramStart"/>
      <w:r w:rsidRPr="00EB300C">
        <w:rPr>
          <w:rFonts w:ascii="Arial" w:hAnsi="Arial"/>
        </w:rPr>
        <w:t>5.2  Décrire</w:t>
      </w:r>
      <w:proofErr w:type="gramEnd"/>
      <w:r w:rsidRPr="00EB300C">
        <w:rPr>
          <w:rFonts w:ascii="Arial" w:hAnsi="Arial"/>
        </w:rPr>
        <w:t xml:space="preserve"> les  modes de marche :</w:t>
      </w:r>
    </w:p>
    <w:p w:rsidR="00317EF6" w:rsidRPr="00EB300C" w:rsidRDefault="00317EF6" w:rsidP="0062105F">
      <w:pPr>
        <w:pStyle w:val="ListParagraph"/>
        <w:numPr>
          <w:ilvl w:val="0"/>
          <w:numId w:val="41"/>
        </w:numPr>
        <w:rPr>
          <w:rFonts w:ascii="Arial" w:hAnsi="Arial"/>
        </w:rPr>
      </w:pPr>
      <w:r w:rsidRPr="00EB300C">
        <w:rPr>
          <w:rFonts w:ascii="Arial" w:hAnsi="Arial"/>
        </w:rPr>
        <w:t>Marche automatique</w:t>
      </w:r>
    </w:p>
    <w:p w:rsidR="00317EF6" w:rsidRPr="00EB300C" w:rsidRDefault="00317EF6" w:rsidP="0062105F">
      <w:pPr>
        <w:pStyle w:val="ListParagraph"/>
        <w:numPr>
          <w:ilvl w:val="0"/>
          <w:numId w:val="41"/>
        </w:numPr>
        <w:rPr>
          <w:rFonts w:ascii="Arial" w:hAnsi="Arial"/>
        </w:rPr>
      </w:pPr>
      <w:r w:rsidRPr="00EB300C">
        <w:rPr>
          <w:rFonts w:ascii="Arial" w:hAnsi="Arial"/>
        </w:rPr>
        <w:t>Initialisation automatique à la partie opérative</w:t>
      </w:r>
    </w:p>
    <w:p w:rsidR="00317EF6" w:rsidRPr="00EB300C" w:rsidRDefault="00317EF6" w:rsidP="0062105F">
      <w:pPr>
        <w:pStyle w:val="ListParagraph"/>
        <w:numPr>
          <w:ilvl w:val="0"/>
          <w:numId w:val="41"/>
        </w:numPr>
        <w:rPr>
          <w:rFonts w:ascii="Arial" w:hAnsi="Arial"/>
        </w:rPr>
      </w:pPr>
      <w:r w:rsidRPr="00EB300C">
        <w:rPr>
          <w:rFonts w:ascii="Arial" w:hAnsi="Arial"/>
        </w:rPr>
        <w:t>Marche de vérification</w:t>
      </w:r>
    </w:p>
    <w:p w:rsidR="00317EF6" w:rsidRPr="00EB300C" w:rsidRDefault="00317EF6" w:rsidP="0062105F">
      <w:pPr>
        <w:pStyle w:val="ListParagraph"/>
        <w:numPr>
          <w:ilvl w:val="0"/>
          <w:numId w:val="41"/>
        </w:numPr>
        <w:rPr>
          <w:rFonts w:ascii="Arial" w:hAnsi="Arial"/>
        </w:rPr>
      </w:pPr>
      <w:r w:rsidRPr="00EB300C">
        <w:rPr>
          <w:rFonts w:ascii="Arial" w:hAnsi="Arial"/>
        </w:rPr>
        <w:t>Arrêt d’urgence</w:t>
      </w:r>
    </w:p>
    <w:p w:rsidR="00317EF6" w:rsidRPr="00EB300C" w:rsidRDefault="00317EF6" w:rsidP="0062105F">
      <w:pPr>
        <w:pStyle w:val="ListParagraph"/>
        <w:numPr>
          <w:ilvl w:val="1"/>
          <w:numId w:val="46"/>
        </w:numPr>
        <w:rPr>
          <w:rFonts w:ascii="Arial" w:hAnsi="Arial"/>
        </w:rPr>
      </w:pPr>
      <w:r w:rsidRPr="00EB300C">
        <w:rPr>
          <w:rFonts w:ascii="Arial" w:hAnsi="Arial"/>
        </w:rPr>
        <w:t>Application sur des systèmes automatises</w:t>
      </w:r>
    </w:p>
    <w:p w:rsidR="00317EF6" w:rsidRDefault="00317EF6" w:rsidP="0015679C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2543EC">
        <w:rPr>
          <w:rFonts w:cs="Times New Roman"/>
          <w:b/>
          <w:bCs/>
          <w:sz w:val="28"/>
          <w:szCs w:val="28"/>
        </w:rPr>
        <w:t>Chapitre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r w:rsidRPr="002543EC">
        <w:rPr>
          <w:rFonts w:cs="Times New Roman"/>
          <w:b/>
          <w:bCs/>
          <w:sz w:val="28"/>
          <w:szCs w:val="28"/>
        </w:rPr>
        <w:t>6</w:t>
      </w:r>
    </w:p>
    <w:p w:rsidR="00317EF6" w:rsidRPr="0015679C" w:rsidRDefault="00317EF6" w:rsidP="0015679C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15679C">
        <w:rPr>
          <w:rFonts w:cs="Times New Roman"/>
          <w:b/>
          <w:bCs/>
          <w:sz w:val="28"/>
          <w:szCs w:val="28"/>
          <w:lang w:val="fr-FR"/>
        </w:rPr>
        <w:t>Diagramme des causes-effets (Ishikawa)</w:t>
      </w:r>
    </w:p>
    <w:p w:rsidR="00317EF6" w:rsidRPr="00EB300C" w:rsidRDefault="00317EF6" w:rsidP="0062105F">
      <w:pPr>
        <w:pStyle w:val="ListParagraph"/>
        <w:numPr>
          <w:ilvl w:val="1"/>
          <w:numId w:val="47"/>
        </w:numPr>
        <w:rPr>
          <w:rFonts w:ascii="Arial" w:hAnsi="Arial"/>
        </w:rPr>
      </w:pPr>
      <w:r w:rsidRPr="00EB300C">
        <w:rPr>
          <w:rFonts w:ascii="Arial" w:hAnsi="Arial"/>
        </w:rPr>
        <w:t>Définition et objectifs</w:t>
      </w:r>
    </w:p>
    <w:p w:rsidR="00317EF6" w:rsidRPr="00EB300C" w:rsidRDefault="00317EF6" w:rsidP="0062105F">
      <w:pPr>
        <w:pStyle w:val="ListParagraph"/>
        <w:numPr>
          <w:ilvl w:val="1"/>
          <w:numId w:val="47"/>
        </w:numPr>
        <w:rPr>
          <w:rFonts w:ascii="Arial" w:hAnsi="Arial"/>
        </w:rPr>
      </w:pPr>
      <w:r w:rsidRPr="00EB300C">
        <w:rPr>
          <w:rFonts w:ascii="Arial" w:hAnsi="Arial"/>
        </w:rPr>
        <w:t xml:space="preserve">Identification du problème </w:t>
      </w:r>
      <w:proofErr w:type="gramStart"/>
      <w:r w:rsidRPr="00EB300C">
        <w:rPr>
          <w:rFonts w:ascii="Arial" w:hAnsi="Arial"/>
        </w:rPr>
        <w:t>à  étudier</w:t>
      </w:r>
      <w:proofErr w:type="gramEnd"/>
    </w:p>
    <w:p w:rsidR="00317EF6" w:rsidRPr="00EB300C" w:rsidRDefault="00317EF6" w:rsidP="0062105F">
      <w:pPr>
        <w:pStyle w:val="ListParagraph"/>
        <w:numPr>
          <w:ilvl w:val="1"/>
          <w:numId w:val="47"/>
        </w:numPr>
        <w:rPr>
          <w:rFonts w:ascii="Arial" w:hAnsi="Arial"/>
        </w:rPr>
      </w:pPr>
      <w:r w:rsidRPr="00EB300C">
        <w:rPr>
          <w:rFonts w:ascii="Arial" w:hAnsi="Arial"/>
        </w:rPr>
        <w:t>Recherche et classement des causes potentielles</w:t>
      </w:r>
    </w:p>
    <w:p w:rsidR="00317EF6" w:rsidRPr="00EB300C" w:rsidRDefault="00317EF6" w:rsidP="0062105F">
      <w:pPr>
        <w:pStyle w:val="ListParagraph"/>
        <w:numPr>
          <w:ilvl w:val="1"/>
          <w:numId w:val="47"/>
        </w:numPr>
        <w:rPr>
          <w:rFonts w:ascii="Arial" w:hAnsi="Arial"/>
        </w:rPr>
      </w:pPr>
      <w:r w:rsidRPr="00EB300C">
        <w:rPr>
          <w:rFonts w:ascii="Arial" w:hAnsi="Arial"/>
        </w:rPr>
        <w:t>Trace du diagramme cause effet</w:t>
      </w:r>
    </w:p>
    <w:p w:rsidR="00317EF6" w:rsidRPr="00EB300C" w:rsidRDefault="00317EF6" w:rsidP="0062105F">
      <w:pPr>
        <w:pStyle w:val="ListParagraph"/>
        <w:numPr>
          <w:ilvl w:val="1"/>
          <w:numId w:val="47"/>
        </w:numPr>
        <w:rPr>
          <w:rFonts w:ascii="Arial" w:hAnsi="Arial"/>
        </w:rPr>
      </w:pPr>
      <w:r w:rsidRPr="00EB300C">
        <w:rPr>
          <w:rFonts w:ascii="Arial" w:hAnsi="Arial"/>
        </w:rPr>
        <w:t>Saisie des données</w:t>
      </w:r>
    </w:p>
    <w:p w:rsidR="00317EF6" w:rsidRPr="00EB300C" w:rsidRDefault="00317EF6" w:rsidP="0062105F">
      <w:pPr>
        <w:pStyle w:val="ListParagraph"/>
        <w:numPr>
          <w:ilvl w:val="1"/>
          <w:numId w:val="47"/>
        </w:numPr>
        <w:rPr>
          <w:rFonts w:ascii="Arial" w:hAnsi="Arial"/>
        </w:rPr>
      </w:pPr>
      <w:r w:rsidRPr="00EB300C">
        <w:rPr>
          <w:rFonts w:ascii="Arial" w:hAnsi="Arial"/>
        </w:rPr>
        <w:t>Exemples typiques</w:t>
      </w:r>
    </w:p>
    <w:p w:rsidR="00317EF6" w:rsidRDefault="00317EF6" w:rsidP="0015679C"/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7DB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FA2CD-5A75-45BB-A2E9-90954A17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195</cp:revision>
  <cp:lastPrinted>2012-09-25T05:56:00Z</cp:lastPrinted>
  <dcterms:created xsi:type="dcterms:W3CDTF">2012-08-24T05:04:00Z</dcterms:created>
  <dcterms:modified xsi:type="dcterms:W3CDTF">2019-07-24T07:01:00Z</dcterms:modified>
</cp:coreProperties>
</file>